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9E6" w:rsidRPr="00EB39E6" w:rsidRDefault="00EB39E6" w:rsidP="00EB39E6">
      <w:pPr>
        <w:spacing w:after="0" w:line="594" w:lineRule="atLeast"/>
        <w:outlineLvl w:val="1"/>
        <w:rPr>
          <w:rFonts w:ascii="Times New Roman" w:eastAsia="Times New Roman" w:hAnsi="Times New Roman" w:cs="Times New Roman"/>
          <w:color w:val="444444"/>
          <w:sz w:val="54"/>
          <w:szCs w:val="54"/>
          <w:lang w:eastAsia="ru-RU"/>
        </w:rPr>
      </w:pPr>
      <w:r w:rsidRPr="00EB39E6">
        <w:rPr>
          <w:rFonts w:ascii="Times New Roman" w:eastAsia="Times New Roman" w:hAnsi="Times New Roman" w:cs="Times New Roman"/>
          <w:color w:val="444444"/>
          <w:sz w:val="54"/>
          <w:szCs w:val="54"/>
          <w:lang w:eastAsia="ru-RU"/>
        </w:rPr>
        <w:t xml:space="preserve">Комментарии к ФГОС дошкольного образования. </w:t>
      </w:r>
      <w:proofErr w:type="spellStart"/>
      <w:r w:rsidRPr="00EB39E6">
        <w:rPr>
          <w:rFonts w:ascii="Times New Roman" w:eastAsia="Times New Roman" w:hAnsi="Times New Roman" w:cs="Times New Roman"/>
          <w:color w:val="444444"/>
          <w:sz w:val="54"/>
          <w:szCs w:val="54"/>
          <w:lang w:eastAsia="ru-RU"/>
        </w:rPr>
        <w:t>Минобрнауки</w:t>
      </w:r>
      <w:proofErr w:type="spellEnd"/>
      <w:r w:rsidRPr="00EB39E6">
        <w:rPr>
          <w:rFonts w:ascii="Times New Roman" w:eastAsia="Times New Roman" w:hAnsi="Times New Roman" w:cs="Times New Roman"/>
          <w:color w:val="444444"/>
          <w:sz w:val="54"/>
          <w:szCs w:val="54"/>
          <w:lang w:eastAsia="ru-RU"/>
        </w:rPr>
        <w:t xml:space="preserve"> России от 28 февраля 2014 года №08-249</w:t>
      </w:r>
    </w:p>
    <w:p w:rsidR="00EB39E6" w:rsidRPr="00EB39E6" w:rsidRDefault="00EB39E6" w:rsidP="00EB39E6">
      <w:pPr>
        <w:spacing w:before="225" w:after="225" w:line="300" w:lineRule="atLeast"/>
        <w:jc w:val="right"/>
        <w:rPr>
          <w:rFonts w:ascii="Arial" w:eastAsia="Times New Roman" w:hAnsi="Arial" w:cs="Arial"/>
          <w:color w:val="444444"/>
          <w:sz w:val="21"/>
          <w:szCs w:val="21"/>
          <w:lang w:eastAsia="ru-RU"/>
        </w:rPr>
      </w:pPr>
      <w:bookmarkStart w:id="0" w:name="_GoBack"/>
      <w:bookmarkEnd w:id="0"/>
      <w:r w:rsidRPr="00EB39E6">
        <w:rPr>
          <w:rFonts w:ascii="Arial" w:eastAsia="Times New Roman" w:hAnsi="Arial" w:cs="Arial"/>
          <w:color w:val="444444"/>
          <w:sz w:val="21"/>
          <w:szCs w:val="21"/>
          <w:lang w:eastAsia="ru-RU"/>
        </w:rPr>
        <w:t>Органы государственной власти</w:t>
      </w:r>
    </w:p>
    <w:p w:rsidR="00EB39E6" w:rsidRPr="00EB39E6" w:rsidRDefault="00EB39E6" w:rsidP="00EB39E6">
      <w:pPr>
        <w:spacing w:before="225" w:after="225" w:line="300" w:lineRule="atLeast"/>
        <w:jc w:val="righ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субъектов Российской Федерации,</w:t>
      </w:r>
    </w:p>
    <w:p w:rsidR="00EB39E6" w:rsidRPr="00EB39E6" w:rsidRDefault="00EB39E6" w:rsidP="00EB39E6">
      <w:pPr>
        <w:spacing w:before="225" w:after="225" w:line="300" w:lineRule="atLeast"/>
        <w:jc w:val="righ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осуществляющие государственное</w:t>
      </w:r>
    </w:p>
    <w:p w:rsidR="00EB39E6" w:rsidRPr="00EB39E6" w:rsidRDefault="00EB39E6" w:rsidP="00EB39E6">
      <w:pPr>
        <w:spacing w:before="225" w:after="225" w:line="300" w:lineRule="atLeast"/>
        <w:jc w:val="righ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управление в сфере образования</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w:t>
      </w:r>
    </w:p>
    <w:p w:rsidR="00EB39E6" w:rsidRPr="00EB39E6" w:rsidRDefault="00EB39E6" w:rsidP="00EB39E6">
      <w:pPr>
        <w:spacing w:before="225" w:after="225" w:line="300" w:lineRule="atLeast"/>
        <w:jc w:val="center"/>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Министерство образования и науки Российской Федерации (</w:t>
      </w:r>
      <w:proofErr w:type="spellStart"/>
      <w:r w:rsidRPr="00EB39E6">
        <w:rPr>
          <w:rFonts w:ascii="Arial" w:eastAsia="Times New Roman" w:hAnsi="Arial" w:cs="Arial"/>
          <w:b/>
          <w:bCs/>
          <w:color w:val="444444"/>
          <w:sz w:val="21"/>
          <w:szCs w:val="21"/>
          <w:lang w:eastAsia="ru-RU"/>
        </w:rPr>
        <w:t>Минобрнауки</w:t>
      </w:r>
      <w:proofErr w:type="spellEnd"/>
      <w:r w:rsidRPr="00EB39E6">
        <w:rPr>
          <w:rFonts w:ascii="Arial" w:eastAsia="Times New Roman" w:hAnsi="Arial" w:cs="Arial"/>
          <w:b/>
          <w:bCs/>
          <w:color w:val="444444"/>
          <w:sz w:val="21"/>
          <w:szCs w:val="21"/>
          <w:lang w:eastAsia="ru-RU"/>
        </w:rPr>
        <w:t xml:space="preserve"> России)</w:t>
      </w:r>
    </w:p>
    <w:p w:rsidR="00EB39E6" w:rsidRPr="00EB39E6" w:rsidRDefault="00EB39E6" w:rsidP="00EB39E6">
      <w:pPr>
        <w:spacing w:before="225" w:after="225" w:line="300" w:lineRule="atLeast"/>
        <w:jc w:val="center"/>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Департамент общего образования</w:t>
      </w:r>
    </w:p>
    <w:p w:rsidR="00EB39E6" w:rsidRPr="00EB39E6" w:rsidRDefault="00EB39E6" w:rsidP="00EB39E6">
      <w:pPr>
        <w:spacing w:before="225" w:after="225" w:line="300" w:lineRule="atLeast"/>
        <w:jc w:val="center"/>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28 февраля 2014 год № 08-249</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 </w:t>
      </w:r>
    </w:p>
    <w:p w:rsidR="00EB39E6" w:rsidRPr="00EB39E6" w:rsidRDefault="00EB39E6" w:rsidP="00EB39E6">
      <w:pPr>
        <w:spacing w:before="225" w:after="225" w:line="300" w:lineRule="atLeast"/>
        <w:jc w:val="center"/>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ФГОС дошкольного образования</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EB39E6">
        <w:rPr>
          <w:rFonts w:ascii="Arial" w:eastAsia="Times New Roman" w:hAnsi="Arial" w:cs="Arial"/>
          <w:color w:val="444444"/>
          <w:sz w:val="21"/>
          <w:szCs w:val="21"/>
          <w:lang w:eastAsia="ru-RU"/>
        </w:rPr>
        <w:t>Минобрнауки</w:t>
      </w:r>
      <w:proofErr w:type="spellEnd"/>
      <w:r w:rsidRPr="00EB39E6">
        <w:rPr>
          <w:rFonts w:ascii="Arial" w:eastAsia="Times New Roman" w:hAnsi="Arial" w:cs="Arial"/>
          <w:color w:val="444444"/>
          <w:sz w:val="21"/>
          <w:szCs w:val="21"/>
          <w:lang w:eastAsia="ru-RU"/>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sidRPr="00EB39E6">
        <w:rPr>
          <w:rFonts w:ascii="Arial" w:eastAsia="Times New Roman" w:hAnsi="Arial" w:cs="Arial"/>
          <w:color w:val="444444"/>
          <w:sz w:val="21"/>
          <w:szCs w:val="21"/>
          <w:lang w:eastAsia="ru-RU"/>
        </w:rPr>
        <w:t>Минобрнауки</w:t>
      </w:r>
      <w:proofErr w:type="spellEnd"/>
      <w:r w:rsidRPr="00EB39E6">
        <w:rPr>
          <w:rFonts w:ascii="Arial" w:eastAsia="Times New Roman" w:hAnsi="Arial" w:cs="Arial"/>
          <w:color w:val="444444"/>
          <w:sz w:val="21"/>
          <w:szCs w:val="21"/>
          <w:lang w:eastAsia="ru-RU"/>
        </w:rPr>
        <w:t xml:space="preserve"> России от 17 октября 2013 г №1155 (зарегистрирован в Минюсте России 14 ноября 2013 г. №30384).</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Приложение: на л. в 1 экз.</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Заместитель директора Департамента                                                                                                                                             Ю.В. Смирнова</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br w:type="textWrapping" w:clear="all"/>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lastRenderedPageBreak/>
        <w:t> </w:t>
      </w:r>
    </w:p>
    <w:p w:rsidR="00EB39E6" w:rsidRPr="00EB39E6" w:rsidRDefault="00EB39E6" w:rsidP="00EB39E6">
      <w:pPr>
        <w:spacing w:before="225" w:after="225" w:line="300" w:lineRule="atLeast"/>
        <w:jc w:val="righ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Приложение</w:t>
      </w:r>
    </w:p>
    <w:p w:rsidR="00EB39E6" w:rsidRPr="00EB39E6" w:rsidRDefault="00EB39E6" w:rsidP="00EB39E6">
      <w:pPr>
        <w:spacing w:before="225" w:after="225" w:line="300" w:lineRule="atLeast"/>
        <w:jc w:val="center"/>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федеральному государственному образовательному стандарту дошкольного образования</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 пункта 1.3. подпункта 2</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 пункта 2.2.</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EB39E6">
        <w:rPr>
          <w:rFonts w:ascii="Arial" w:eastAsia="Times New Roman" w:hAnsi="Arial" w:cs="Arial"/>
          <w:color w:val="444444"/>
          <w:sz w:val="21"/>
          <w:szCs w:val="21"/>
          <w:lang w:eastAsia="ru-RU"/>
        </w:rPr>
        <w:t>Минобрнауки</w:t>
      </w:r>
      <w:proofErr w:type="spellEnd"/>
      <w:r w:rsidRPr="00EB39E6">
        <w:rPr>
          <w:rFonts w:ascii="Arial" w:eastAsia="Times New Roman" w:hAnsi="Arial" w:cs="Arial"/>
          <w:color w:val="444444"/>
          <w:sz w:val="21"/>
          <w:szCs w:val="21"/>
          <w:lang w:eastAsia="ru-RU"/>
        </w:rPr>
        <w:t xml:space="preserve">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lastRenderedPageBreak/>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ДО.</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 пункта 2.5.</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Данная норма предполагает, что при разработке образовательной программы (программ) конкретной Организации могут использоваться примерные </w:t>
      </w:r>
      <w:proofErr w:type="gramStart"/>
      <w:r w:rsidRPr="00EB39E6">
        <w:rPr>
          <w:rFonts w:ascii="Arial" w:eastAsia="Times New Roman" w:hAnsi="Arial" w:cs="Arial"/>
          <w:color w:val="444444"/>
          <w:sz w:val="21"/>
          <w:szCs w:val="21"/>
          <w:lang w:eastAsia="ru-RU"/>
        </w:rPr>
        <w:t>основные образовательные программы дошкольного образования</w:t>
      </w:r>
      <w:proofErr w:type="gramEnd"/>
      <w:r w:rsidRPr="00EB39E6">
        <w:rPr>
          <w:rFonts w:ascii="Arial" w:eastAsia="Times New Roman" w:hAnsi="Arial" w:cs="Arial"/>
          <w:color w:val="444444"/>
          <w:sz w:val="21"/>
          <w:szCs w:val="21"/>
          <w:lang w:eastAsia="ru-RU"/>
        </w:rPr>
        <w:t xml:space="preserve">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EB39E6">
        <w:rPr>
          <w:rFonts w:ascii="Arial" w:eastAsia="Times New Roman" w:hAnsi="Arial" w:cs="Arial"/>
          <w:color w:val="444444"/>
          <w:sz w:val="21"/>
          <w:szCs w:val="21"/>
          <w:lang w:eastAsia="ru-RU"/>
        </w:rPr>
        <w:t>Минобрнауки</w:t>
      </w:r>
      <w:proofErr w:type="spellEnd"/>
      <w:r w:rsidRPr="00EB39E6">
        <w:rPr>
          <w:rFonts w:ascii="Arial" w:eastAsia="Times New Roman" w:hAnsi="Arial" w:cs="Arial"/>
          <w:color w:val="444444"/>
          <w:sz w:val="21"/>
          <w:szCs w:val="21"/>
          <w:lang w:eastAsia="ru-RU"/>
        </w:rPr>
        <w:t xml:space="preserve">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w:t>
      </w:r>
      <w:r w:rsidRPr="00EB39E6">
        <w:rPr>
          <w:rFonts w:ascii="Arial" w:eastAsia="Times New Roman" w:hAnsi="Arial" w:cs="Arial"/>
          <w:color w:val="444444"/>
          <w:sz w:val="21"/>
          <w:szCs w:val="21"/>
          <w:lang w:eastAsia="ru-RU"/>
        </w:rPr>
        <w:lastRenderedPageBreak/>
        <w:t>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 пункта 2.7. (первый абзац)</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 пункта 2.9. (второй абзац)</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Данная статья ФГОС ДО подчеркивает взаимодополняющий характер детского развития в пяти образовательных областях.</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 пункта 2.10.</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w:t>
      </w:r>
      <w:r w:rsidRPr="00EB39E6">
        <w:rPr>
          <w:rFonts w:ascii="Arial" w:eastAsia="Times New Roman" w:hAnsi="Arial" w:cs="Arial"/>
          <w:color w:val="444444"/>
          <w:sz w:val="21"/>
          <w:szCs w:val="21"/>
          <w:lang w:eastAsia="ru-RU"/>
        </w:rPr>
        <w:lastRenderedPageBreak/>
        <w:t>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III пункта 3.1.</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III пункта 3.2.2. и к 3.4.4.</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lastRenderedPageBreak/>
        <w:t>Комментарии к разделу III пункта 3.2.3.</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статье предусмотрены задачи, для решения которых могут использоваться результаты педагогической диагностики:</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2. оптимизация работы с группой детей.</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В соответствии с Положением о психолого-медико-педагогической комиссии, утвержденным приказом </w:t>
      </w:r>
      <w:proofErr w:type="spellStart"/>
      <w:r w:rsidRPr="00EB39E6">
        <w:rPr>
          <w:rFonts w:ascii="Arial" w:eastAsia="Times New Roman" w:hAnsi="Arial" w:cs="Arial"/>
          <w:color w:val="444444"/>
          <w:sz w:val="21"/>
          <w:szCs w:val="21"/>
          <w:lang w:eastAsia="ru-RU"/>
        </w:rPr>
        <w:t>Минобрнауки</w:t>
      </w:r>
      <w:proofErr w:type="spellEnd"/>
      <w:r w:rsidRPr="00EB39E6">
        <w:rPr>
          <w:rFonts w:ascii="Arial" w:eastAsia="Times New Roman" w:hAnsi="Arial" w:cs="Arial"/>
          <w:color w:val="444444"/>
          <w:sz w:val="21"/>
          <w:szCs w:val="21"/>
          <w:lang w:eastAsia="ru-RU"/>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lastRenderedPageBreak/>
        <w:t>В соответствии с пунктом 10 вышеуказанного Положения основными направлениями деятельности комиссии являются:</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EB39E6">
        <w:rPr>
          <w:rFonts w:ascii="Arial" w:eastAsia="Times New Roman" w:hAnsi="Arial" w:cs="Arial"/>
          <w:color w:val="444444"/>
          <w:sz w:val="21"/>
          <w:szCs w:val="21"/>
          <w:lang w:eastAsia="ru-RU"/>
        </w:rPr>
        <w:t>девиантным</w:t>
      </w:r>
      <w:proofErr w:type="spellEnd"/>
      <w:r w:rsidRPr="00EB39E6">
        <w:rPr>
          <w:rFonts w:ascii="Arial" w:eastAsia="Times New Roman" w:hAnsi="Arial" w:cs="Arial"/>
          <w:color w:val="444444"/>
          <w:sz w:val="21"/>
          <w:szCs w:val="21"/>
          <w:lang w:eastAsia="ru-RU"/>
        </w:rPr>
        <w:t xml:space="preserve"> (общественно опасным) поведением;</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д) осуществление учета данных о детях с ограниченными возможностями здоровья и (или) </w:t>
      </w:r>
      <w:proofErr w:type="spellStart"/>
      <w:r w:rsidRPr="00EB39E6">
        <w:rPr>
          <w:rFonts w:ascii="Arial" w:eastAsia="Times New Roman" w:hAnsi="Arial" w:cs="Arial"/>
          <w:color w:val="444444"/>
          <w:sz w:val="21"/>
          <w:szCs w:val="21"/>
          <w:lang w:eastAsia="ru-RU"/>
        </w:rPr>
        <w:t>девиантным</w:t>
      </w:r>
      <w:proofErr w:type="spellEnd"/>
      <w:r w:rsidRPr="00EB39E6">
        <w:rPr>
          <w:rFonts w:ascii="Arial" w:eastAsia="Times New Roman" w:hAnsi="Arial" w:cs="Arial"/>
          <w:color w:val="444444"/>
          <w:sz w:val="21"/>
          <w:szCs w:val="21"/>
          <w:lang w:eastAsia="ru-RU"/>
        </w:rPr>
        <w:t xml:space="preserve"> (общественно опасным) поведением, проживающих на территории деятельности комиссии;</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III пункта 3.2.4.</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lastRenderedPageBreak/>
        <w:t>- для детей с тяжелыми нарушениями речи - 6 и 10 детей;</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детей с фонетико-фонематическими нарушениями речи в возрасте старше 3 лет -12 детей;</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глухих детей - 6 детей для обеих возрастных групп;</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слабослышащих детей - 6 и 8 детей;</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слепых детей - 6 детей для обеих возрастных групп;</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 для слабовидящих детей, для детей с </w:t>
      </w:r>
      <w:proofErr w:type="spellStart"/>
      <w:r w:rsidRPr="00EB39E6">
        <w:rPr>
          <w:rFonts w:ascii="Arial" w:eastAsia="Times New Roman" w:hAnsi="Arial" w:cs="Arial"/>
          <w:color w:val="444444"/>
          <w:sz w:val="21"/>
          <w:szCs w:val="21"/>
          <w:lang w:eastAsia="ru-RU"/>
        </w:rPr>
        <w:t>амблиопией</w:t>
      </w:r>
      <w:proofErr w:type="spellEnd"/>
      <w:r w:rsidRPr="00EB39E6">
        <w:rPr>
          <w:rFonts w:ascii="Arial" w:eastAsia="Times New Roman" w:hAnsi="Arial" w:cs="Arial"/>
          <w:color w:val="444444"/>
          <w:sz w:val="21"/>
          <w:szCs w:val="21"/>
          <w:lang w:eastAsia="ru-RU"/>
        </w:rPr>
        <w:t>, косоглазием - 6 и детей;</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детей с нарушениями опорно-двигательного аппарата - 6 и 8 детей:</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детей с задержкой психического развития - 6 и 10 детей;</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детей с умственной отсталостью легкой степени - 6 и 10 детей;</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детей с умственной отсталостью умеренной, тяжелой в возрасте старше 3 лет - 8 детей;</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детей с аутизмом только в возрасте старше 3 лет - 5 детей;</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Рекомендуемое количество детей в группах комбинированной направленности:</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а) до 3 лет - не более 10 детей, в том числе не более 3 детей ограниченными возможностями здоровья;</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б) старше 3 лет:</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 не более 15 детей, в том числе не более 4 слабовидящих и (или) детей </w:t>
      </w:r>
      <w:proofErr w:type="spellStart"/>
      <w:r w:rsidRPr="00EB39E6">
        <w:rPr>
          <w:rFonts w:ascii="Arial" w:eastAsia="Times New Roman" w:hAnsi="Arial" w:cs="Arial"/>
          <w:color w:val="444444"/>
          <w:sz w:val="21"/>
          <w:szCs w:val="21"/>
          <w:lang w:eastAsia="ru-RU"/>
        </w:rPr>
        <w:t>амблиопией</w:t>
      </w:r>
      <w:proofErr w:type="spellEnd"/>
      <w:r w:rsidRPr="00EB39E6">
        <w:rPr>
          <w:rFonts w:ascii="Arial" w:eastAsia="Times New Roman" w:hAnsi="Arial" w:cs="Arial"/>
          <w:color w:val="444444"/>
          <w:sz w:val="21"/>
          <w:szCs w:val="21"/>
          <w:lang w:eastAsia="ru-RU"/>
        </w:rPr>
        <w:t xml:space="preserve"> и (или) косоглазием, или слабослышащих детей, или </w:t>
      </w:r>
      <w:proofErr w:type="spellStart"/>
      <w:r w:rsidRPr="00EB39E6">
        <w:rPr>
          <w:rFonts w:ascii="Arial" w:eastAsia="Times New Roman" w:hAnsi="Arial" w:cs="Arial"/>
          <w:color w:val="444444"/>
          <w:sz w:val="21"/>
          <w:szCs w:val="21"/>
          <w:lang w:eastAsia="ru-RU"/>
        </w:rPr>
        <w:t>детёй</w:t>
      </w:r>
      <w:proofErr w:type="spellEnd"/>
      <w:r w:rsidRPr="00EB39E6">
        <w:rPr>
          <w:rFonts w:ascii="Arial" w:eastAsia="Times New Roman" w:hAnsi="Arial" w:cs="Arial"/>
          <w:color w:val="444444"/>
          <w:sz w:val="21"/>
          <w:szCs w:val="21"/>
          <w:lang w:eastAsia="ru-RU"/>
        </w:rPr>
        <w:t>, имеющих тяжелые нарушения речи, или детей с умственной отсталостью легкой степени;</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не более 17 детей, в том числе не более 5 детей с задержкой психического развития.</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lastRenderedPageBreak/>
        <w:t>Комментарии к разделу III пункта 3.2.6. подпункта 1</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III пункта 3.2.7.</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w:t>
      </w:r>
      <w:proofErr w:type="spellStart"/>
      <w:r w:rsidRPr="00EB39E6">
        <w:rPr>
          <w:rFonts w:ascii="Arial" w:eastAsia="Times New Roman" w:hAnsi="Arial" w:cs="Arial"/>
          <w:color w:val="444444"/>
          <w:sz w:val="21"/>
          <w:szCs w:val="21"/>
          <w:lang w:eastAsia="ru-RU"/>
        </w:rPr>
        <w:t>дм</w:t>
      </w:r>
      <w:proofErr w:type="spellEnd"/>
      <w:r w:rsidRPr="00EB39E6">
        <w:rPr>
          <w:rFonts w:ascii="Arial" w:eastAsia="Times New Roman" w:hAnsi="Arial" w:cs="Arial"/>
          <w:color w:val="444444"/>
          <w:sz w:val="21"/>
          <w:szCs w:val="21"/>
          <w:lang w:eastAsia="ru-RU"/>
        </w:rPr>
        <w:t xml:space="preserve">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sidRPr="00EB39E6">
        <w:rPr>
          <w:rFonts w:ascii="Arial" w:eastAsia="Times New Roman" w:hAnsi="Arial" w:cs="Arial"/>
          <w:color w:val="444444"/>
          <w:sz w:val="21"/>
          <w:szCs w:val="21"/>
          <w:lang w:eastAsia="ru-RU"/>
        </w:rPr>
        <w:t>Минобрнауки</w:t>
      </w:r>
      <w:proofErr w:type="spellEnd"/>
      <w:r w:rsidRPr="00EB39E6">
        <w:rPr>
          <w:rFonts w:ascii="Arial" w:eastAsia="Times New Roman" w:hAnsi="Arial" w:cs="Arial"/>
          <w:color w:val="444444"/>
          <w:sz w:val="21"/>
          <w:szCs w:val="21"/>
          <w:lang w:eastAsia="ru-RU"/>
        </w:rPr>
        <w:t xml:space="preserve"> России от 20 сентября 2013 г. №1082 «Об утверждении Положения о психолого-медико-педагогической комиссии»).</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III пункта 3.3.5.</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w:t>
      </w:r>
      <w:proofErr w:type="gramStart"/>
      <w:r w:rsidRPr="00EB39E6">
        <w:rPr>
          <w:rFonts w:ascii="Arial" w:eastAsia="Times New Roman" w:hAnsi="Arial" w:cs="Arial"/>
          <w:color w:val="444444"/>
          <w:sz w:val="21"/>
          <w:szCs w:val="21"/>
          <w:lang w:eastAsia="ru-RU"/>
        </w:rPr>
        <w:t>местными нормами</w:t>
      </w:r>
      <w:proofErr w:type="gramEnd"/>
      <w:r w:rsidRPr="00EB39E6">
        <w:rPr>
          <w:rFonts w:ascii="Arial" w:eastAsia="Times New Roman" w:hAnsi="Arial" w:cs="Arial"/>
          <w:color w:val="444444"/>
          <w:sz w:val="21"/>
          <w:szCs w:val="21"/>
          <w:lang w:eastAsia="ru-RU"/>
        </w:rPr>
        <w:t xml:space="preserve">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EB39E6">
        <w:rPr>
          <w:rFonts w:ascii="Arial" w:eastAsia="Times New Roman" w:hAnsi="Arial" w:cs="Arial"/>
          <w:color w:val="444444"/>
          <w:sz w:val="21"/>
          <w:szCs w:val="21"/>
          <w:lang w:eastAsia="ru-RU"/>
        </w:rPr>
        <w:t>Минобрнауки</w:t>
      </w:r>
      <w:proofErr w:type="spellEnd"/>
      <w:r w:rsidRPr="00EB39E6">
        <w:rPr>
          <w:rFonts w:ascii="Arial" w:eastAsia="Times New Roman" w:hAnsi="Arial" w:cs="Arial"/>
          <w:color w:val="444444"/>
          <w:sz w:val="21"/>
          <w:szCs w:val="21"/>
          <w:lang w:eastAsia="ru-RU"/>
        </w:rPr>
        <w:t xml:space="preserve"> России от 1 октября 2013 г. №08-1408).</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III пункта 3.4.1.</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w:t>
      </w:r>
      <w:r w:rsidRPr="00EB39E6">
        <w:rPr>
          <w:rFonts w:ascii="Arial" w:eastAsia="Times New Roman" w:hAnsi="Arial" w:cs="Arial"/>
          <w:color w:val="444444"/>
          <w:sz w:val="21"/>
          <w:szCs w:val="21"/>
          <w:lang w:eastAsia="ru-RU"/>
        </w:rPr>
        <w:lastRenderedPageBreak/>
        <w:t xml:space="preserve">№678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w:t>
      </w:r>
      <w:proofErr w:type="spellStart"/>
      <w:r w:rsidRPr="00EB39E6">
        <w:rPr>
          <w:rFonts w:ascii="Arial" w:eastAsia="Times New Roman" w:hAnsi="Arial" w:cs="Arial"/>
          <w:color w:val="444444"/>
          <w:sz w:val="21"/>
          <w:szCs w:val="21"/>
          <w:lang w:eastAsia="ru-RU"/>
        </w:rPr>
        <w:t>Минздравсоцразвития</w:t>
      </w:r>
      <w:proofErr w:type="spellEnd"/>
      <w:r w:rsidRPr="00EB39E6">
        <w:rPr>
          <w:rFonts w:ascii="Arial" w:eastAsia="Times New Roman" w:hAnsi="Arial" w:cs="Arial"/>
          <w:color w:val="444444"/>
          <w:sz w:val="21"/>
          <w:szCs w:val="21"/>
          <w:lang w:eastAsia="ru-RU"/>
        </w:rPr>
        <w:t xml:space="preserve"> России от 26 августа 2010 г. №761н «</w:t>
      </w:r>
      <w:proofErr w:type="spellStart"/>
      <w:r w:rsidRPr="00EB39E6">
        <w:rPr>
          <w:rFonts w:ascii="Arial" w:eastAsia="Times New Roman" w:hAnsi="Arial" w:cs="Arial"/>
          <w:color w:val="444444"/>
          <w:sz w:val="21"/>
          <w:szCs w:val="21"/>
          <w:lang w:eastAsia="ru-RU"/>
        </w:rPr>
        <w:t>Эб</w:t>
      </w:r>
      <w:proofErr w:type="spellEnd"/>
      <w:r w:rsidRPr="00EB39E6">
        <w:rPr>
          <w:rFonts w:ascii="Arial" w:eastAsia="Times New Roman" w:hAnsi="Arial" w:cs="Arial"/>
          <w:color w:val="444444"/>
          <w:sz w:val="21"/>
          <w:szCs w:val="21"/>
          <w:lang w:eastAsia="ru-RU"/>
        </w:rPr>
        <w:t xml:space="preserve">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при оформлении результатов наблюдения (мониторинга) за здоровьем, развитием и воспитанием детей, в том числе с помощью электронных форм;</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разработке плана (программы) воспитательной работы;</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lastRenderedPageBreak/>
        <w:t>Комментарии к разделу III пунктов 3.4.3. и 3.4.4.</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III пункта З.6.</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EB39E6">
        <w:rPr>
          <w:rFonts w:ascii="Arial" w:eastAsia="Times New Roman" w:hAnsi="Arial" w:cs="Arial"/>
          <w:color w:val="444444"/>
          <w:sz w:val="21"/>
          <w:szCs w:val="21"/>
          <w:lang w:eastAsia="ru-RU"/>
        </w:rPr>
        <w:t>Минобрнауки</w:t>
      </w:r>
      <w:proofErr w:type="spellEnd"/>
      <w:r w:rsidRPr="00EB39E6">
        <w:rPr>
          <w:rFonts w:ascii="Arial" w:eastAsia="Times New Roman" w:hAnsi="Arial" w:cs="Arial"/>
          <w:color w:val="444444"/>
          <w:sz w:val="21"/>
          <w:szCs w:val="21"/>
          <w:lang w:eastAsia="ru-RU"/>
        </w:rPr>
        <w:t xml:space="preserve"> России от 1 октября 2013 г. №08-1408.</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IV пункта 4.3.</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EB39E6" w:rsidRPr="00EB39E6" w:rsidRDefault="00EB39E6" w:rsidP="00EB39E6">
      <w:pPr>
        <w:spacing w:before="225" w:after="225" w:line="300" w:lineRule="atLeast"/>
        <w:rPr>
          <w:rFonts w:ascii="Arial" w:eastAsia="Times New Roman" w:hAnsi="Arial" w:cs="Arial"/>
          <w:color w:val="444444"/>
          <w:sz w:val="21"/>
          <w:szCs w:val="21"/>
          <w:lang w:eastAsia="ru-RU"/>
        </w:rPr>
      </w:pPr>
      <w:r w:rsidRPr="00EB39E6">
        <w:rPr>
          <w:rFonts w:ascii="Arial" w:eastAsia="Times New Roman" w:hAnsi="Arial" w:cs="Arial"/>
          <w:b/>
          <w:bCs/>
          <w:color w:val="444444"/>
          <w:sz w:val="21"/>
          <w:szCs w:val="21"/>
          <w:lang w:eastAsia="ru-RU"/>
        </w:rPr>
        <w:t>Комментарии к разделу IV пункта 4.5.</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EB39E6" w:rsidRPr="00EB39E6" w:rsidRDefault="00EB39E6" w:rsidP="00EB39E6">
      <w:pPr>
        <w:spacing w:before="225" w:after="225" w:line="300" w:lineRule="atLeast"/>
        <w:jc w:val="both"/>
        <w:rPr>
          <w:rFonts w:ascii="Arial" w:eastAsia="Times New Roman" w:hAnsi="Arial" w:cs="Arial"/>
          <w:color w:val="444444"/>
          <w:sz w:val="21"/>
          <w:szCs w:val="21"/>
          <w:lang w:eastAsia="ru-RU"/>
        </w:rPr>
      </w:pPr>
      <w:r w:rsidRPr="00EB39E6">
        <w:rPr>
          <w:rFonts w:ascii="Arial" w:eastAsia="Times New Roman" w:hAnsi="Arial" w:cs="Arial"/>
          <w:color w:val="444444"/>
          <w:sz w:val="21"/>
          <w:szCs w:val="21"/>
          <w:lang w:eastAsia="ru-RU"/>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82344A" w:rsidRDefault="0082344A"/>
    <w:sectPr w:rsidR="00823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46ABE"/>
    <w:multiLevelType w:val="multilevel"/>
    <w:tmpl w:val="6C3A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E6"/>
    <w:rsid w:val="0082344A"/>
    <w:rsid w:val="00EB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9CC87-A52E-4A70-B8F7-7416AC71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58867">
      <w:bodyDiv w:val="1"/>
      <w:marLeft w:val="0"/>
      <w:marRight w:val="0"/>
      <w:marTop w:val="0"/>
      <w:marBottom w:val="0"/>
      <w:divBdr>
        <w:top w:val="none" w:sz="0" w:space="0" w:color="auto"/>
        <w:left w:val="none" w:sz="0" w:space="0" w:color="auto"/>
        <w:bottom w:val="none" w:sz="0" w:space="0" w:color="auto"/>
        <w:right w:val="none" w:sz="0" w:space="0" w:color="auto"/>
      </w:divBdr>
      <w:divsChild>
        <w:div w:id="1465197017">
          <w:marLeft w:val="0"/>
          <w:marRight w:val="0"/>
          <w:marTop w:val="0"/>
          <w:marBottom w:val="0"/>
          <w:divBdr>
            <w:top w:val="none" w:sz="0" w:space="0" w:color="auto"/>
            <w:left w:val="none" w:sz="0" w:space="0" w:color="auto"/>
            <w:bottom w:val="none" w:sz="0" w:space="0" w:color="auto"/>
            <w:right w:val="none" w:sz="0" w:space="0" w:color="auto"/>
          </w:divBdr>
        </w:div>
        <w:div w:id="476802042">
          <w:marLeft w:val="0"/>
          <w:marRight w:val="0"/>
          <w:marTop w:val="240"/>
          <w:marBottom w:val="0"/>
          <w:divBdr>
            <w:top w:val="dotted" w:sz="6" w:space="2" w:color="CCCCCC"/>
            <w:left w:val="none" w:sz="0" w:space="0" w:color="auto"/>
            <w:bottom w:val="dotted" w:sz="6" w:space="2" w:color="CCCCCC"/>
            <w:right w:val="none" w:sz="0" w:space="0" w:color="auto"/>
          </w:divBdr>
        </w:div>
        <w:div w:id="1693261935">
          <w:marLeft w:val="0"/>
          <w:marRight w:val="0"/>
          <w:marTop w:val="0"/>
          <w:marBottom w:val="0"/>
          <w:divBdr>
            <w:top w:val="none" w:sz="0" w:space="0" w:color="auto"/>
            <w:left w:val="none" w:sz="0" w:space="0" w:color="auto"/>
            <w:bottom w:val="none" w:sz="0" w:space="0" w:color="auto"/>
            <w:right w:val="none" w:sz="0" w:space="0" w:color="auto"/>
          </w:divBdr>
          <w:divsChild>
            <w:div w:id="2015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4771</Words>
  <Characters>27198</Characters>
  <Application>Microsoft Office Word</Application>
  <DocSecurity>0</DocSecurity>
  <Lines>226</Lines>
  <Paragraphs>63</Paragraphs>
  <ScaleCrop>false</ScaleCrop>
  <Company/>
  <LinksUpToDate>false</LinksUpToDate>
  <CharactersWithSpaces>31906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2014-07-11T08:03:00Z</dcterms:created>
  <dcterms:modified xsi:type="dcterms:W3CDTF">2014-07-11T08:03:00Z</dcterms:modified>
</cp:coreProperties>
</file>